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114300" distR="114300">
            <wp:extent cx="6516369" cy="126492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516369" cy="12649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b w:val="1"/>
          <w:color w:val="76923c"/>
          <w:sz w:val="28"/>
          <w:szCs w:val="28"/>
        </w:rPr>
      </w:pPr>
      <w:r w:rsidDel="00000000" w:rsidR="00000000" w:rsidRPr="00000000">
        <w:rPr>
          <w:b w:val="1"/>
          <w:color w:val="76923c"/>
          <w:sz w:val="28"/>
          <w:szCs w:val="28"/>
          <w:rtl w:val="0"/>
        </w:rPr>
        <w:t xml:space="preserve">Changes to Tasmanian Temperature Control (TC) Distribution</w:t>
      </w:r>
    </w:p>
    <w:p w:rsidR="00000000" w:rsidDel="00000000" w:rsidP="00000000" w:rsidRDefault="00000000" w:rsidRPr="00000000" w14:paraId="00000003">
      <w:pPr>
        <w:spacing w:after="0" w:line="240" w:lineRule="auto"/>
        <w:rPr>
          <w:color w:val="666666"/>
          <w:highlight w:val="white"/>
        </w:rPr>
      </w:pPr>
      <w:r w:rsidDel="00000000" w:rsidR="00000000" w:rsidRPr="00000000">
        <w:rPr>
          <w:rtl w:val="0"/>
        </w:rPr>
      </w:r>
    </w:p>
    <w:p w:rsidR="00000000" w:rsidDel="00000000" w:rsidP="00000000" w:rsidRDefault="00000000" w:rsidRPr="00000000" w14:paraId="00000004">
      <w:pPr>
        <w:spacing w:after="0" w:line="240" w:lineRule="auto"/>
        <w:rPr>
          <w:color w:val="666666"/>
          <w:highlight w:val="white"/>
        </w:rPr>
      </w:pPr>
      <w:r w:rsidDel="00000000" w:rsidR="00000000" w:rsidRPr="00000000">
        <w:rPr>
          <w:color w:val="666666"/>
          <w:highlight w:val="white"/>
          <w:rtl w:val="0"/>
        </w:rPr>
        <w:t xml:space="preserve">Dear Customer,</w:t>
      </w:r>
    </w:p>
    <w:p w:rsidR="00000000" w:rsidDel="00000000" w:rsidP="00000000" w:rsidRDefault="00000000" w:rsidRPr="00000000" w14:paraId="00000005">
      <w:pPr>
        <w:spacing w:after="0" w:line="240" w:lineRule="auto"/>
        <w:rPr>
          <w:color w:val="666666"/>
          <w:highlight w:val="white"/>
        </w:rPr>
      </w:pPr>
      <w:r w:rsidDel="00000000" w:rsidR="00000000" w:rsidRPr="00000000">
        <w:rPr>
          <w:rtl w:val="0"/>
        </w:rPr>
      </w:r>
    </w:p>
    <w:p w:rsidR="00000000" w:rsidDel="00000000" w:rsidP="00000000" w:rsidRDefault="00000000" w:rsidRPr="00000000" w14:paraId="00000006">
      <w:pPr>
        <w:spacing w:after="0" w:line="240" w:lineRule="auto"/>
        <w:rPr>
          <w:color w:val="666666"/>
          <w:highlight w:val="white"/>
        </w:rPr>
      </w:pPr>
      <w:r w:rsidDel="00000000" w:rsidR="00000000" w:rsidRPr="00000000">
        <w:rPr>
          <w:color w:val="666666"/>
          <w:highlight w:val="white"/>
          <w:rtl w:val="0"/>
        </w:rPr>
        <w:t xml:space="preserve">As you may know, the SIW Tas RDC is currently being expanded to include a Temperature Controlled (TC) area. The Tasmanian DC consolidation will see the transition of all chilled, frozen and meat lines into the SIW Tas RDC from Breadalbane TC DC (BDC) and SRT TC facility.</w:t>
      </w:r>
    </w:p>
    <w:p w:rsidR="00000000" w:rsidDel="00000000" w:rsidP="00000000" w:rsidRDefault="00000000" w:rsidRPr="00000000" w14:paraId="00000007">
      <w:pPr>
        <w:spacing w:after="0" w:line="240" w:lineRule="auto"/>
        <w:rPr>
          <w:color w:val="666666"/>
          <w:highlight w:val="white"/>
        </w:rPr>
      </w:pPr>
      <w:r w:rsidDel="00000000" w:rsidR="00000000" w:rsidRPr="00000000">
        <w:rPr>
          <w:rtl w:val="0"/>
        </w:rPr>
      </w:r>
    </w:p>
    <w:p w:rsidR="00000000" w:rsidDel="00000000" w:rsidP="00000000" w:rsidRDefault="00000000" w:rsidRPr="00000000" w14:paraId="00000008">
      <w:pPr>
        <w:spacing w:after="0" w:line="240" w:lineRule="auto"/>
        <w:rPr>
          <w:color w:val="666666"/>
          <w:highlight w:val="white"/>
        </w:rPr>
      </w:pPr>
      <w:r w:rsidDel="00000000" w:rsidR="00000000" w:rsidRPr="00000000">
        <w:rPr>
          <w:color w:val="666666"/>
          <w:highlight w:val="white"/>
          <w:rtl w:val="0"/>
        </w:rPr>
        <w:t xml:space="preserve">Key Callouts:</w:t>
      </w:r>
    </w:p>
    <w:p w:rsidR="00000000" w:rsidDel="00000000" w:rsidP="00000000" w:rsidRDefault="00000000" w:rsidRPr="00000000" w14:paraId="00000009">
      <w:pPr>
        <w:spacing w:after="0" w:line="240" w:lineRule="auto"/>
        <w:rPr>
          <w:color w:val="666666"/>
          <w:highlight w:val="white"/>
        </w:rPr>
      </w:pP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720" w:hanging="360"/>
        <w:rPr>
          <w:color w:val="666666"/>
          <w:highlight w:val="white"/>
        </w:rPr>
      </w:pPr>
      <w:r w:rsidDel="00000000" w:rsidR="00000000" w:rsidRPr="00000000">
        <w:rPr>
          <w:color w:val="666666"/>
          <w:highlight w:val="white"/>
          <w:rtl w:val="0"/>
        </w:rPr>
        <w:t xml:space="preserve">SIW Tas RDC will commence servicing the Tasmanian stores (31 Woolworths Stores and 150 independents) with chilled, frozen and meat lines from mid-September 2019</w:t>
      </w:r>
    </w:p>
    <w:p w:rsidR="00000000" w:rsidDel="00000000" w:rsidP="00000000" w:rsidRDefault="00000000" w:rsidRPr="00000000" w14:paraId="0000000B">
      <w:pPr>
        <w:numPr>
          <w:ilvl w:val="0"/>
          <w:numId w:val="1"/>
        </w:numPr>
        <w:shd w:fill="ffffff" w:val="clear"/>
        <w:spacing w:after="0" w:line="240" w:lineRule="auto"/>
        <w:ind w:left="720" w:hanging="360"/>
        <w:rPr>
          <w:color w:val="666666"/>
          <w:highlight w:val="white"/>
        </w:rPr>
      </w:pPr>
      <w:r w:rsidDel="00000000" w:rsidR="00000000" w:rsidRPr="00000000">
        <w:rPr>
          <w:color w:val="666666"/>
          <w:highlight w:val="white"/>
          <w:rtl w:val="0"/>
        </w:rPr>
        <w:t xml:space="preserve">All stores will continue to receive loads as normal during and post the transition, 1 ambient load and 1 TC load (the TC loads from the new TC at Tas RDC and existing BDC will be delivered as one load during transition i.e loads from each DC will be consolidated to allow one delivery)</w:t>
      </w:r>
    </w:p>
    <w:p w:rsidR="00000000" w:rsidDel="00000000" w:rsidP="00000000" w:rsidRDefault="00000000" w:rsidRPr="00000000" w14:paraId="0000000C">
      <w:pPr>
        <w:numPr>
          <w:ilvl w:val="0"/>
          <w:numId w:val="1"/>
        </w:numPr>
        <w:spacing w:after="0" w:line="240" w:lineRule="auto"/>
        <w:ind w:left="720" w:hanging="360"/>
        <w:rPr>
          <w:color w:val="666666"/>
          <w:highlight w:val="white"/>
        </w:rPr>
      </w:pPr>
      <w:r w:rsidDel="00000000" w:rsidR="00000000" w:rsidRPr="00000000">
        <w:rPr>
          <w:color w:val="666666"/>
          <w:highlight w:val="white"/>
          <w:rtl w:val="0"/>
        </w:rPr>
        <w:t xml:space="preserve">There will be no change to the current delivery windows</w:t>
      </w:r>
    </w:p>
    <w:p w:rsidR="00000000" w:rsidDel="00000000" w:rsidP="00000000" w:rsidRDefault="00000000" w:rsidRPr="00000000" w14:paraId="0000000D">
      <w:pPr>
        <w:spacing w:after="0" w:line="240" w:lineRule="auto"/>
        <w:rPr>
          <w:color w:val="666666"/>
          <w:highlight w:val="white"/>
        </w:rPr>
      </w:pPr>
      <w:r w:rsidDel="00000000" w:rsidR="00000000" w:rsidRPr="00000000">
        <w:rPr>
          <w:rtl w:val="0"/>
        </w:rPr>
      </w:r>
    </w:p>
    <w:p w:rsidR="00000000" w:rsidDel="00000000" w:rsidP="00000000" w:rsidRDefault="00000000" w:rsidRPr="00000000" w14:paraId="0000000E">
      <w:pPr>
        <w:spacing w:after="0" w:line="240" w:lineRule="auto"/>
        <w:rPr>
          <w:color w:val="666666"/>
          <w:highlight w:val="white"/>
        </w:rPr>
      </w:pPr>
      <w:r w:rsidDel="00000000" w:rsidR="00000000" w:rsidRPr="00000000">
        <w:rPr>
          <w:color w:val="666666"/>
          <w:highlight w:val="white"/>
          <w:rtl w:val="0"/>
        </w:rPr>
        <w:t xml:space="preserve">Actions for you: </w:t>
      </w:r>
    </w:p>
    <w:p w:rsidR="00000000" w:rsidDel="00000000" w:rsidP="00000000" w:rsidRDefault="00000000" w:rsidRPr="00000000" w14:paraId="0000000F">
      <w:pPr>
        <w:spacing w:after="0" w:line="240" w:lineRule="auto"/>
        <w:rPr>
          <w:color w:val="666666"/>
          <w:highlight w:val="white"/>
        </w:rPr>
      </w:pPr>
      <w:r w:rsidDel="00000000" w:rsidR="00000000" w:rsidRPr="00000000">
        <w:rPr>
          <w:rtl w:val="0"/>
        </w:rPr>
      </w:r>
    </w:p>
    <w:p w:rsidR="00000000" w:rsidDel="00000000" w:rsidP="00000000" w:rsidRDefault="00000000" w:rsidRPr="00000000" w14:paraId="00000010">
      <w:pPr>
        <w:numPr>
          <w:ilvl w:val="0"/>
          <w:numId w:val="2"/>
        </w:numPr>
        <w:spacing w:after="100" w:line="240" w:lineRule="auto"/>
        <w:ind w:left="720" w:hanging="360"/>
        <w:rPr>
          <w:color w:val="666666"/>
          <w:highlight w:val="white"/>
        </w:rPr>
      </w:pPr>
      <w:r w:rsidDel="00000000" w:rsidR="00000000" w:rsidRPr="00000000">
        <w:rPr>
          <w:color w:val="666666"/>
          <w:highlight w:val="white"/>
          <w:rtl w:val="0"/>
        </w:rPr>
        <w:t xml:space="preserve">No action required</w:t>
      </w:r>
    </w:p>
    <w:p w:rsidR="00000000" w:rsidDel="00000000" w:rsidP="00000000" w:rsidRDefault="00000000" w:rsidRPr="00000000" w14:paraId="00000011">
      <w:pPr>
        <w:spacing w:after="0" w:line="240" w:lineRule="auto"/>
        <w:rPr>
          <w:color w:val="666666"/>
          <w:highlight w:val="white"/>
        </w:rPr>
      </w:pPr>
      <w:r w:rsidDel="00000000" w:rsidR="00000000" w:rsidRPr="00000000">
        <w:rPr>
          <w:rtl w:val="0"/>
        </w:rPr>
      </w:r>
    </w:p>
    <w:p w:rsidR="00000000" w:rsidDel="00000000" w:rsidP="00000000" w:rsidRDefault="00000000" w:rsidRPr="00000000" w14:paraId="00000012">
      <w:pPr>
        <w:spacing w:after="100" w:line="240" w:lineRule="auto"/>
        <w:rPr>
          <w:color w:val="666666"/>
          <w:highlight w:val="white"/>
        </w:rPr>
      </w:pPr>
      <w:r w:rsidDel="00000000" w:rsidR="00000000" w:rsidRPr="00000000">
        <w:rPr>
          <w:color w:val="666666"/>
          <w:highlight w:val="white"/>
          <w:rtl w:val="0"/>
        </w:rPr>
        <w:t xml:space="preserve">Further communication to be sent once the transition dates are confirmed. If you have any questions, please contact me on 63910804 or send an email to &lt;</w:t>
      </w:r>
      <w:hyperlink r:id="rId7">
        <w:r w:rsidDel="00000000" w:rsidR="00000000" w:rsidRPr="00000000">
          <w:rPr>
            <w:color w:val="1155cc"/>
            <w:highlight w:val="white"/>
            <w:u w:val="single"/>
            <w:rtl w:val="0"/>
          </w:rPr>
          <w:t xml:space="preserve">srobins@siw.com.au</w:t>
        </w:r>
      </w:hyperlink>
      <w:r w:rsidDel="00000000" w:rsidR="00000000" w:rsidRPr="00000000">
        <w:rPr>
          <w:color w:val="666666"/>
          <w:highlight w:val="white"/>
          <w:rtl w:val="0"/>
        </w:rPr>
        <w:t xml:space="preserve">&gt;</w:t>
      </w:r>
    </w:p>
    <w:p w:rsidR="00000000" w:rsidDel="00000000" w:rsidP="00000000" w:rsidRDefault="00000000" w:rsidRPr="00000000" w14:paraId="00000013">
      <w:pPr>
        <w:spacing w:after="0" w:line="240" w:lineRule="auto"/>
        <w:rPr>
          <w:color w:val="666666"/>
          <w:highlight w:val="white"/>
        </w:rPr>
      </w:pPr>
      <w:r w:rsidDel="00000000" w:rsidR="00000000" w:rsidRPr="00000000">
        <w:rPr>
          <w:rtl w:val="0"/>
        </w:rPr>
      </w:r>
    </w:p>
    <w:p w:rsidR="00000000" w:rsidDel="00000000" w:rsidP="00000000" w:rsidRDefault="00000000" w:rsidRPr="00000000" w14:paraId="00000014">
      <w:pPr>
        <w:spacing w:after="0" w:line="240" w:lineRule="auto"/>
        <w:rPr>
          <w:color w:val="666666"/>
          <w:highlight w:val="white"/>
        </w:rPr>
      </w:pPr>
      <w:r w:rsidDel="00000000" w:rsidR="00000000" w:rsidRPr="00000000">
        <w:rPr>
          <w:color w:val="666666"/>
          <w:highlight w:val="white"/>
          <w:rtl w:val="0"/>
        </w:rPr>
        <w:t xml:space="preserve">Thank you,</w:t>
      </w:r>
    </w:p>
    <w:p w:rsidR="00000000" w:rsidDel="00000000" w:rsidP="00000000" w:rsidRDefault="00000000" w:rsidRPr="00000000" w14:paraId="00000015">
      <w:pPr>
        <w:spacing w:after="0" w:line="240" w:lineRule="auto"/>
        <w:rPr>
          <w:color w:val="666666"/>
          <w:highlight w:val="white"/>
        </w:rPr>
      </w:pPr>
      <w:r w:rsidDel="00000000" w:rsidR="00000000" w:rsidRPr="00000000">
        <w:rPr>
          <w:color w:val="666666"/>
          <w:highlight w:val="white"/>
          <w:rtl w:val="0"/>
        </w:rPr>
        <w:t xml:space="preserve">Stuart Robins</w:t>
      </w:r>
    </w:p>
    <w:p w:rsidR="00000000" w:rsidDel="00000000" w:rsidP="00000000" w:rsidRDefault="00000000" w:rsidRPr="00000000" w14:paraId="00000016">
      <w:pPr>
        <w:spacing w:after="0" w:line="240" w:lineRule="auto"/>
        <w:rPr>
          <w:color w:val="666666"/>
          <w:highlight w:val="white"/>
        </w:rPr>
      </w:pPr>
      <w:r w:rsidDel="00000000" w:rsidR="00000000" w:rsidRPr="00000000">
        <w:rPr>
          <w:color w:val="666666"/>
          <w:highlight w:val="white"/>
          <w:rtl w:val="0"/>
        </w:rPr>
        <w:t xml:space="preserve">Tas RDC Commercial Manager</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drawing>
          <wp:inline distB="0" distT="0" distL="114300" distR="114300">
            <wp:extent cx="6019165" cy="847725"/>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019165" cy="847725"/>
                    </a:xfrm>
                    <a:prstGeom prst="rect"/>
                    <a:ln/>
                  </pic:spPr>
                </pic:pic>
              </a:graphicData>
            </a:graphic>
          </wp:inline>
        </w:drawing>
      </w:r>
      <w:r w:rsidDel="00000000" w:rsidR="00000000" w:rsidRPr="00000000">
        <w:rPr>
          <w:rtl w:val="0"/>
        </w:rPr>
      </w:r>
    </w:p>
    <w:sectPr>
      <w:pgSz w:h="16838" w:w="11906"/>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tabs>
        <w:tab w:val="center" w:pos="4820"/>
      </w:tabs>
      <w:spacing w:after="0" w:line="240" w:lineRule="auto"/>
      <w:jc w:val="center"/>
    </w:pPr>
    <w:rPr>
      <w:rFonts w:ascii="Verdana" w:cs="Verdana" w:eastAsia="Verdana" w:hAnsi="Verdana"/>
      <w:b w:val="1"/>
      <w:sz w:val="21"/>
      <w:szCs w:val="2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robins@siw.com.au"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